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1C0647" w:rsidRDefault="00B20B33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6837C2" w:rsidRPr="001C0647" w:rsidRDefault="006837C2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837C2" w:rsidRPr="001C0647" w:rsidRDefault="006837C2" w:rsidP="006837C2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1C064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C0647">
        <w:rPr>
          <w:rFonts w:ascii="IRBadr" w:hAnsi="IRBadr" w:cs="IRBadr"/>
          <w:sz w:val="28"/>
          <w:szCs w:val="28"/>
          <w:lang w:bidi="fa-IR"/>
        </w:rPr>
        <w:instrText>TOC</w:instrText>
      </w:r>
      <w:r w:rsidRPr="001C0647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1C0647">
        <w:rPr>
          <w:rFonts w:ascii="IRBadr" w:hAnsi="IRBadr" w:cs="IRBadr"/>
          <w:sz w:val="28"/>
          <w:szCs w:val="28"/>
          <w:lang w:bidi="fa-IR"/>
        </w:rPr>
        <w:instrText>o "</w:instrText>
      </w:r>
      <w:r w:rsidRPr="001C0647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1C0647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1C0647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C0647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2744" w:history="1">
        <w:r w:rsidRPr="001C0647">
          <w:rPr>
            <w:rStyle w:val="ae"/>
            <w:rFonts w:ascii="IRBadr" w:hAnsi="IRBadr" w:cs="IRBadr"/>
            <w:b/>
            <w:bCs/>
            <w:noProof/>
            <w:rtl/>
          </w:rPr>
          <w:t>زنا</w:t>
        </w:r>
        <w:r w:rsidRPr="001C0647">
          <w:rPr>
            <w:rFonts w:ascii="IRBadr" w:hAnsi="IRBadr" w:cs="IRBadr"/>
            <w:noProof/>
            <w:webHidden/>
          </w:rPr>
          <w:tab/>
        </w:r>
        <w:r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Pr="001C0647">
          <w:rPr>
            <w:rFonts w:ascii="IRBadr" w:hAnsi="IRBadr" w:cs="IRBadr"/>
            <w:noProof/>
            <w:webHidden/>
          </w:rPr>
          <w:instrText xml:space="preserve"> PAGEREF _Toc425552744 \h </w:instrText>
        </w:r>
        <w:r w:rsidRPr="001C0647">
          <w:rPr>
            <w:rStyle w:val="ae"/>
            <w:rFonts w:ascii="IRBadr" w:hAnsi="IRBadr" w:cs="IRBadr"/>
            <w:noProof/>
            <w:rtl/>
          </w:rPr>
        </w:r>
        <w:r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1C0647">
          <w:rPr>
            <w:rFonts w:ascii="IRBadr" w:hAnsi="IRBadr" w:cs="IRBadr"/>
            <w:noProof/>
            <w:webHidden/>
          </w:rPr>
          <w:t>2</w:t>
        </w:r>
        <w:r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45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مرور عناوین اولیه و ثانویه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_Toc425552745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2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46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مرور قیود زمانی و مکانی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_Toc425552746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2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47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تشریح کارکرد عناوین ثانویه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_Toc425552747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3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48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لزوم تشخیص حاکم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_Toc425552748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3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49" w:history="1">
        <w:r w:rsidR="001C0647">
          <w:rPr>
            <w:rStyle w:val="ae"/>
            <w:rFonts w:ascii="IRBadr" w:hAnsi="IRBadr" w:cs="IRBadr"/>
            <w:b/>
            <w:bCs/>
            <w:noProof/>
            <w:rtl/>
          </w:rPr>
          <w:t>جمع‌بندی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_Toc425552749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3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0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حق تعزیر حاکم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_Toc425552750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4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1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بقای احکام وضعی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_Toc425552751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4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2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ترتیب بین حدود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_Toc425552752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5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3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مقامات بحث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_Toc425552753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5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4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آراء در این باب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_Toc425552754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5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5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مستندات قول دوم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_Toc425552755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5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6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اول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_Toc425552756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6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7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دوم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_Toc425552757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6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8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سوم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_Toc425552758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6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59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چهارم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_Toc425552759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6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60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پنجم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_Toc425552760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7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61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ششم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_Toc425552761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7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62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هفتم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_Toc425552762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7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CB3484" w:rsidP="006837C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763" w:history="1">
        <w:r w:rsidR="006837C2" w:rsidRPr="001C0647">
          <w:rPr>
            <w:rStyle w:val="ae"/>
            <w:rFonts w:ascii="IRBadr" w:hAnsi="IRBadr" w:cs="IRBadr"/>
            <w:b/>
            <w:bCs/>
            <w:noProof/>
            <w:rtl/>
          </w:rPr>
          <w:t>روایت هشتم</w:t>
        </w:r>
        <w:r w:rsidR="006837C2" w:rsidRPr="001C0647">
          <w:rPr>
            <w:rFonts w:ascii="IRBadr" w:hAnsi="IRBadr" w:cs="IRBadr"/>
            <w:noProof/>
            <w:webHidden/>
          </w:rPr>
          <w:tab/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begin"/>
        </w:r>
        <w:r w:rsidR="006837C2" w:rsidRPr="001C0647">
          <w:rPr>
            <w:rFonts w:ascii="IRBadr" w:hAnsi="IRBadr" w:cs="IRBadr"/>
            <w:noProof/>
            <w:webHidden/>
          </w:rPr>
          <w:instrText xml:space="preserve"> PAGEREF _Toc425552763 \h </w:instrText>
        </w:r>
        <w:r w:rsidR="006837C2" w:rsidRPr="001C0647">
          <w:rPr>
            <w:rStyle w:val="ae"/>
            <w:rFonts w:ascii="IRBadr" w:hAnsi="IRBadr" w:cs="IRBadr"/>
            <w:noProof/>
            <w:rtl/>
          </w:rPr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6837C2" w:rsidRPr="001C0647">
          <w:rPr>
            <w:rFonts w:ascii="IRBadr" w:hAnsi="IRBadr" w:cs="IRBadr"/>
            <w:noProof/>
            <w:webHidden/>
          </w:rPr>
          <w:t>7</w:t>
        </w:r>
        <w:r w:rsidR="006837C2" w:rsidRPr="001C0647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6837C2" w:rsidRPr="001C0647" w:rsidRDefault="006837C2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C0647" w:rsidRDefault="001C0647">
      <w:pPr>
        <w:rPr>
          <w:rFonts w:ascii="IRBadr" w:eastAsiaTheme="majorEastAsia" w:hAnsi="IRBadr" w:cs="IRBadr"/>
          <w:b/>
          <w:bCs/>
          <w:sz w:val="36"/>
          <w:szCs w:val="36"/>
          <w:rtl/>
          <w:lang w:bidi="fa-IR"/>
        </w:rPr>
      </w:pPr>
      <w:bookmarkStart w:id="0" w:name="_Toc425552744"/>
      <w:r>
        <w:rPr>
          <w:rFonts w:ascii="IRBadr" w:hAnsi="IRBadr" w:cs="IRBadr"/>
          <w:b/>
          <w:bCs/>
          <w:sz w:val="36"/>
          <w:szCs w:val="36"/>
          <w:rtl/>
          <w:lang w:bidi="fa-IR"/>
        </w:rPr>
        <w:br w:type="page"/>
      </w:r>
    </w:p>
    <w:p w:rsidR="00DA7D37" w:rsidRPr="001C0647" w:rsidRDefault="006837C2" w:rsidP="006837C2">
      <w:pPr>
        <w:pStyle w:val="1"/>
        <w:bidi/>
        <w:jc w:val="both"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r w:rsidRPr="001C0647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زنا</w:t>
      </w:r>
      <w:bookmarkEnd w:id="0"/>
    </w:p>
    <w:p w:rsidR="00DA7D37" w:rsidRPr="001C0647" w:rsidRDefault="00CC541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در موجبات حد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اولین موجب حد را زنا قرار دادند. و در باب زنا هم ابتدا تعریف زنا و اقسام آن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مطرح شد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و بعد در دو مقام بحث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شد؛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یکی در حد زنا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و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راه‌های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ثبوت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و در اواخر مقام اول هم به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محدودیت‌هایی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در مقام اجرای زنا هست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پرداختند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این بحث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تمام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شده است و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وارد بحث دیگری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دیروز عرض کردم. قبل از اینکه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مقام دوم بپردازیم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مختصری نسبت به مباحث اخیر داشته باشیم.</w:t>
      </w:r>
    </w:p>
    <w:p w:rsidR="00DA7D37" w:rsidRPr="001C0647" w:rsidRDefault="00CC541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گفتیم حدودی که شارع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مجازات بعضی از گناهان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مقرر فرموده است،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زنا چه سایر گناهان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از جهاتی محدود است به حدود و شرایط و ضوابطی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بعضی از این شرایط و ضوابطی که محدد این حدود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چهارچوب‌های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آن را تعیین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برمی‌گشت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به ضوابط مربوط به اصل ثبوت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.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یک دسته از شرایط و ضوابط و محددات این حدود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برمی‌گشت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به ثبوت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>شان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عند الحاکم که به چه نحو برای حاکم ثابت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این یک دسته دیگر از ضوابط و شرایطی بود که در همین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قبل ذکر شده است.</w:t>
      </w:r>
    </w:p>
    <w:p w:rsidR="00DA7D37" w:rsidRPr="001C0647" w:rsidRDefault="00DA7D37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" w:name="_Toc425552745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مرور عناوین اولیه و ثانویه</w:t>
      </w:r>
      <w:bookmarkEnd w:id="1"/>
    </w:p>
    <w:p w:rsidR="00DA7D37" w:rsidRPr="001C0647" w:rsidRDefault="00CC541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و دسته سوم این محددات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شرایط و ضوابطی بود که در مقام اجرا بایستی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قرار بگیرد. که بعضی از آن را در همین چند مسئله نهم و دهم و یازدهم متعرض شدند. بعضی هم در آینده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. در این قسم سوم بود که گفته شد شرایط زمانی و مکانی محدد حدود داریم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قلمرو اجرای حد را تحدید و تعیین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در اینجا عرض کردیم که این شرایط و ضوابط اجرای حد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 دو قسم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بشود. یک قسم عناوین اولیه و عناوین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است که در خود روایات آمده است و یک قسم هم عناوین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ثانویه‌ای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است که قواعد کلی است که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اینجا بحث هم نکردند ولی به لحاظ فقهی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مهم است.</w:t>
      </w:r>
    </w:p>
    <w:p w:rsidR="00570B3B" w:rsidRPr="001C0647" w:rsidRDefault="00570B3B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2" w:name="_Toc425552746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مرور قیود زمانی</w:t>
      </w:r>
      <w:r w:rsidR="008C4D0E"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 </w:t>
      </w:r>
      <w:r w:rsidR="00A219C3"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و مکانی</w:t>
      </w:r>
      <w:bookmarkEnd w:id="2"/>
    </w:p>
    <w:p w:rsidR="00570B3B" w:rsidRPr="001C0647" w:rsidRDefault="00CC541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در این عناوین اولیه چند </w:t>
      </w:r>
      <w:r w:rsidR="00DA7D37" w:rsidRPr="001C0647">
        <w:rPr>
          <w:rFonts w:ascii="IRBadr" w:hAnsi="IRBadr" w:cs="IRBadr"/>
          <w:sz w:val="28"/>
          <w:szCs w:val="28"/>
          <w:rtl/>
          <w:lang w:bidi="fa-IR"/>
        </w:rPr>
        <w:t xml:space="preserve">مورد از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زمانی و مکانی مطرح شد. از جمله اینکه </w:t>
      </w:r>
      <w:r w:rsidR="00570B3B" w:rsidRPr="001C0647">
        <w:rPr>
          <w:rFonts w:ascii="IRBadr" w:hAnsi="IRBadr" w:cs="IRBadr"/>
          <w:sz w:val="28"/>
          <w:szCs w:val="28"/>
          <w:rtl/>
          <w:lang w:bidi="fa-IR"/>
        </w:rPr>
        <w:t>باید در هوای معتدل اجرا بشود،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قید زمانی بود. دو </w:t>
      </w:r>
      <w:r w:rsidR="00570B3B" w:rsidRPr="001C0647">
        <w:rPr>
          <w:rFonts w:ascii="IRBadr" w:hAnsi="IRBadr" w:cs="IRBadr"/>
          <w:sz w:val="28"/>
          <w:szCs w:val="28"/>
          <w:rtl/>
          <w:lang w:bidi="fa-IR"/>
        </w:rPr>
        <w:t xml:space="preserve">قید مکانی هم در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اینجا مطرح 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یکی اینکه لا یقام الحد فی الحرم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یکی اینکه لا یقام الحد فی ارض العدو.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قیود مکانی بود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که در این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مکان‌ها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حد اجرا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و تأخیر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219C3" w:rsidRPr="001C0647" w:rsidRDefault="00AF00C6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عناوین ثانویه مزاحمی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احیاناً حد را به صورت موقت یا 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درازمدت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طولانی‌مدت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0B3B" w:rsidRPr="001C0647">
        <w:rPr>
          <w:rFonts w:ascii="IRBadr" w:hAnsi="IRBadr" w:cs="IRBadr"/>
          <w:sz w:val="28"/>
          <w:szCs w:val="28"/>
          <w:rtl/>
          <w:lang w:bidi="fa-IR"/>
        </w:rPr>
        <w:t xml:space="preserve">متوقف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کند. ببینید عناوین مزاحم 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 امور مختلفی باشد،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قتل نفوس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تقریباً در آنجایی که موجب قتل نفوس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همه قبول داریم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مزاحم اهم است. یا هتک اعراض مسلمین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 را همه قبول دارند که اهم است. بنابراین غیر از این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محدودیت‌هایی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در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lastRenderedPageBreak/>
        <w:t>این قلمروهای قبلی گفتیم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به صورت عنوان اولی یا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چارچوب‌های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زمانی و مکانی در روایات آمده بود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عناوین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ثانویه‌ای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داریم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که آن عناوین ثانویه از باب تزاحم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فوریت یا اصل اجرای حدود را متوقف بکند.</w:t>
      </w:r>
    </w:p>
    <w:p w:rsidR="00A219C3" w:rsidRPr="001C0647" w:rsidRDefault="00A219C3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2747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تشریح کا</w:t>
      </w:r>
      <w:r w:rsidRPr="001C0647">
        <w:rPr>
          <w:rStyle w:val="10"/>
          <w:rFonts w:ascii="IRBadr" w:hAnsi="IRBadr" w:cs="IRBadr"/>
          <w:b/>
          <w:bCs/>
          <w:color w:val="auto"/>
          <w:rtl/>
        </w:rPr>
        <w:t>رکر</w:t>
      </w:r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د عناوین ثانویه</w:t>
      </w:r>
      <w:bookmarkEnd w:id="3"/>
    </w:p>
    <w:p w:rsidR="00A219C3" w:rsidRPr="001C0647" w:rsidRDefault="00AF00C6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البته نباید این تصور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داشته باشیم که عنوان ثانوی باید 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دوره‌ای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کوتاه وجود داشته باشد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عنوان ثانوی با آن دایره وسیعی که در فقه دارد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ممکن است صد سال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جایی تأثیری داشته باشد.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زمان 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ر عنوان ثانوی مطرح نیست. عنوان ثانوی تزاحم عناوین است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.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زمان ممکن است یک روز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صد سال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چند قرن باشد. مثلاً وقتی که عنوان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ثانوی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 حج را تعطیل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یعنی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می‌خواهد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حکم الزامی را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تغییر بدهد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یا عنوان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ثانوی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شرب خمر را تجویز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ط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بعاً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اینجا احتیاطات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باید منظور بشود.</w:t>
      </w:r>
    </w:p>
    <w:p w:rsidR="00A219C3" w:rsidRPr="001C0647" w:rsidRDefault="00AF00C6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وقت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عنوان ثانوی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حالت‌های اباحه را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تغییر بدهند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، ط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بعاً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اینجا احتیاطش کمتر است. انواع عناوین ثانویه متفاوت است. ولی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زمان شرط نیست. عمده این است که عنوان هست یا عنوان نیست.</w:t>
      </w:r>
    </w:p>
    <w:p w:rsidR="00A219C3" w:rsidRPr="001C0647" w:rsidRDefault="00AF00C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 xml:space="preserve"> </w:t>
      </w:r>
      <w:bookmarkStart w:id="4" w:name="_Toc425552748"/>
      <w:r w:rsidR="00DB52E5"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لزوم تشخیص حاکم</w:t>
      </w:r>
      <w:bookmarkEnd w:id="4"/>
    </w:p>
    <w:p w:rsidR="00DB52E5" w:rsidRPr="001C0647" w:rsidRDefault="00AF00C6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نکته مهم دیگر این است که تشخیص آن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 این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نوع عناوین ثانوی که در احکام کلی اجتماعی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>است،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با آن حاکم است. هر کسی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بگوید من این عنوان ثانوی را </w:t>
      </w:r>
      <w:r w:rsidR="00A219C3"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اینجا تشخیص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می‌دهم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حکومت است که باید این عنوان را تشخیص بدهد و تشخیص اهم و مهم هم خیلی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ضابطه‌مند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نیست. اگر در احکام فرعی و تکالیف فردی باشد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94212" w:rsidRPr="001C0647">
        <w:rPr>
          <w:rFonts w:ascii="IRBadr" w:hAnsi="IRBadr" w:cs="IRBadr"/>
          <w:sz w:val="28"/>
          <w:szCs w:val="28"/>
          <w:rtl/>
          <w:lang w:bidi="fa-IR"/>
        </w:rPr>
        <w:t>تشخیص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اهم و مهمش با خود فرد است. اگر در احکام عمومی باشد</w:t>
      </w:r>
      <w:r w:rsidR="00DB52E5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با حکومت است. اهم و مهم </w:t>
      </w:r>
      <w:r w:rsidR="00DB52E5" w:rsidRPr="001C0647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بایست در فضای شرع تشخیص داد. مرحوم نائینی در اصول و جاهای مختلف خیلی</w:t>
      </w:r>
      <w:r w:rsidR="00DB52E5" w:rsidRPr="001C064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DB52E5" w:rsidRPr="001C0647">
        <w:rPr>
          <w:rFonts w:ascii="IRBadr" w:hAnsi="IRBadr" w:cs="IRBadr"/>
          <w:sz w:val="28"/>
          <w:szCs w:val="28"/>
          <w:rtl/>
          <w:lang w:bidi="fa-IR"/>
        </w:rPr>
        <w:t>بحث کردند،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خیلی دشوار است که ضابطه جامع </w:t>
      </w:r>
      <w:r w:rsidR="00DB52E5" w:rsidRPr="001C0647">
        <w:rPr>
          <w:rFonts w:ascii="IRBadr" w:hAnsi="IRBadr" w:cs="IRBadr"/>
          <w:sz w:val="28"/>
          <w:szCs w:val="28"/>
          <w:rtl/>
          <w:lang w:bidi="fa-IR"/>
        </w:rPr>
        <w:t>بیاوریم.</w:t>
      </w:r>
    </w:p>
    <w:p w:rsidR="00DD422C" w:rsidRPr="001C0647" w:rsidRDefault="001C0647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جمع‌بندی</w:t>
      </w:r>
    </w:p>
    <w:p w:rsidR="00DD422C" w:rsidRPr="001C0647" w:rsidRDefault="00DD422C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پس یک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مطلب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این است که این عناوین ثانویه مزاحمه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گاهی موجب توقف محدود حد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یا تأخیر اجرای حد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امسال یا امروز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به خاطر 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ن عنوان ثانوی اجرای حد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کنیم. گاهی است که نه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برهه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درازمدت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ی را 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اصل حد را در یک زمانی متوقف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.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نکته اول توجه به عناوین ثانویه مزاحمه است. نکته دوم این است که این عناوین ثانویه مزاحم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گاهی فوریت را تأخیر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می‌اندازد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متوقف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>ولی گاهی است که نه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در یک زمان طولانی حد را ساقط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9900A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D422C" w:rsidRPr="001C0647" w:rsidRDefault="009900AE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ممکن است 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>امری به خاطر عنوان ثانوی تا زمان ظهور این حکم متوقف بشود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ما در باب وجوب قضا 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>داریم که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>خودش یک عنوان ثانوی است که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تصدی قضا واجب است و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طولانی در آنجا داشتیم.</w:t>
      </w:r>
    </w:p>
    <w:p w:rsidR="00961DDA" w:rsidRPr="001C0647" w:rsidRDefault="009900AE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نکته سوم هم این است که تشخیص تزاحم این عناوین در اینجا با حکومت و قاضی 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 xml:space="preserve">و سیستم قضایی است،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نه دست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هر کسی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علتش این است که عناوین ثانویه گاهی در تکالیف فردی است. آنجا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تشخیص‌دهنده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عنوان ثانوی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خود افراد و مکلفین</w:t>
      </w:r>
      <w:r w:rsidR="00DD422C" w:rsidRPr="001C0647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البته با توجه به معیارهای شرعی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 در جای خودش باید بسط داده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شود. اما در مسائل اجتماعی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تشخیص‌دهنده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حکومت 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و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حاکم است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نکته چهارم هم این است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وقتی عنوان ثانوی مزاحم آمد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و حدی یا حدودی را متوقف کرد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چه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بعد از آن یک مسائل دیگری وجود دارد که به آن باید توجه کرد. از جمله اینکه حالا که حد جاری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، آیا حاکم حق تعزیر دارد؟</w:t>
      </w:r>
    </w:p>
    <w:p w:rsidR="00961DDA" w:rsidRPr="001C0647" w:rsidRDefault="00961DDA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5" w:name="_Toc425552750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حق تعزیر حاکم</w:t>
      </w:r>
      <w:bookmarkEnd w:id="5"/>
    </w:p>
    <w:p w:rsidR="00961DDA" w:rsidRPr="001C0647" w:rsidRDefault="00695112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آن حق تعزیر حاکم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سر جای خودش محفوظ است.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مادون حد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حق جعل تعزیرات دارد و اگر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درازمدت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ممکن است به صورت 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حقو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قی قرار بدهد و تعزیرات را مشخص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کند. این از یک طرف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از طرف دیگر در حقوق الناس که کسی قصاص را متوقف کرده است. 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ط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بعاً اینکه آیا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آنجا تبدیل به دیه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یا تعزیرات را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حاکم قرار بدهد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، در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آن بحثی داریم که در قصاص بحث </w:t>
      </w:r>
      <w:r w:rsidR="00961DDA" w:rsidRPr="001C0647">
        <w:rPr>
          <w:rFonts w:ascii="IRBadr" w:hAnsi="IRBadr" w:cs="IRBadr"/>
          <w:sz w:val="28"/>
          <w:szCs w:val="28"/>
          <w:rtl/>
          <w:lang w:bidi="fa-IR"/>
        </w:rPr>
        <w:t>خواهد شد.</w:t>
      </w:r>
    </w:p>
    <w:p w:rsidR="00961DDA" w:rsidRPr="001C0647" w:rsidRDefault="00BD59DB" w:rsidP="006837C2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6" w:name="_Toc425552751"/>
      <w:r w:rsidRPr="001C0647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بقای احکام وضعی</w:t>
      </w:r>
      <w:bookmarkEnd w:id="6"/>
    </w:p>
    <w:p w:rsidR="00BD59DB" w:rsidRPr="001C0647" w:rsidRDefault="00961DD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نکته پنجم این است که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عناوین ثانویه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می‌آیند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تکلیف را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برمی‌دارند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. اما آن احکام وضعی سر جای خودش است. اگر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ثانوی الان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 از این آقا مثلاً پول را گرفت،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آن ضمان سر جای خودش است.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نیست که عنوان ثانوی تکلیف آن را بردارد. بالاخره آن ضامن مال مردم است که برداشته 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>یا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سرقت کرده است. آن ضمان سر جای خو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>دش است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حتی اگر حاکم هم نتواند از او بگیرد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تکالیف خود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سر جای خودش محفوظ است. یعنی 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فرد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سارق ضا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>من مال مردم است. منتها حاکم به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دلیلی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الان یا قدرت ندارد یا اینکه قدرت دارد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>ولی عناوین ثانوی مزاحم شده است،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اینجا ضمان او سر جای خودش است. منتها اجرای این حکم مواجه 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با یک مانع و مزاحمی شده است.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یعنی بالاخره تکالیف افراد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به لحاظ اینکه ضامن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و باید بپردازد</w:t>
      </w:r>
      <w:r w:rsidR="00BD59DB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سر جای خودش است.</w:t>
      </w:r>
    </w:p>
    <w:p w:rsidR="005F7A0E" w:rsidRPr="001C0647" w:rsidRDefault="00695112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یعنی آن احکام وضعی و تکالیف فردی اشخاص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غالباً سر جای خودش محفوظ است. البته این عناوین مزاحم غیر از عنوان اصل عدم قدرت است. گاهی است که عدم اجرای حد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 خاطر این است که حاکمی نیست، قدرتی ندارد و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عقلاً 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امکان ندارد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اجرای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lastRenderedPageBreak/>
        <w:t>ح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د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کند. یعنی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فقیه مبسوط الیدی نیست که اجرای نظام حدود و مجازات اسلامی 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را انجام دهد،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آن 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موارد ط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بعاً تکلیفی نیست و اجرا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F7A0E" w:rsidRPr="001C0647" w:rsidRDefault="005F7A0E" w:rsidP="006837C2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7" w:name="_Toc425552752"/>
      <w:r w:rsidRPr="001C0647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ترتیب بین حدود</w:t>
      </w:r>
      <w:bookmarkEnd w:id="7"/>
    </w:p>
    <w:p w:rsidR="005F7A0E" w:rsidRPr="001C0647" w:rsidRDefault="005F7A0E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کیفیت ایقاع الحد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مسائلی وجود دارد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که اولین مسئله آن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، این است که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 اگر کسی مرتکب جرم واحدی 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که دو مجازات دارد. مثلاً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 xml:space="preserve">زنای محصن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بعضی نظرشان این بود که زانی محصن هم جلد دارد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95112" w:rsidRPr="001C0647">
        <w:rPr>
          <w:rFonts w:ascii="IRBadr" w:hAnsi="IRBadr" w:cs="IRBadr"/>
          <w:sz w:val="28"/>
          <w:szCs w:val="28"/>
          <w:rtl/>
          <w:lang w:bidi="fa-IR"/>
        </w:rPr>
        <w:t>هم رجم دارد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فردی یا به دلیل اول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یا به دلیل دوم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یا به هر دلیل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جرم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ی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انجام داده که چند مجازات دارد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در اجرای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 چند مجازات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چه حکمی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وجود دارد؟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آیا ترتبی بین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هست یا نیست؟</w:t>
      </w:r>
    </w:p>
    <w:p w:rsidR="004E0215" w:rsidRPr="001C0647" w:rsidRDefault="004E0215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8" w:name="_Toc425552753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مقامات بحث</w:t>
      </w:r>
      <w:bookmarkEnd w:id="8"/>
    </w:p>
    <w:p w:rsidR="005F7A0E" w:rsidRPr="001C0647" w:rsidRDefault="00606CF0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در اینجا دو مقام وجود دارد. یک مقام و جهت این است که در این 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امر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تر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تیبی وجود دارد یا نه؟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یکی در جایی که با اجرای یکی از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موضوع بقیه مرتفع و منتفی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و یکی هم در جایی که موضوع بقیه منتفی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. قسم اول مثل این است که اگر مستحق جلد و قتل است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اگر قتل مقدم داشته بشود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دیگر موضوعی برای جلد باقی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نمی‌ماند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موضوعی برای جلد باقی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نمی‌ماند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آیا اینجا ترتیبی هست یا نیست؟ مقام دوم در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مجازاتی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است که یکی موضوع بقیه را رفع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با هم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اجرا کرد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بدون اینکه رفع بشود. آیا در آنجا هم ترتیبی هست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4E0215" w:rsidRPr="001C0647" w:rsidRDefault="004E0215" w:rsidP="006837C2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9" w:name="_Toc425552754"/>
      <w:r w:rsidRPr="001C0647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آراء در این باب</w:t>
      </w:r>
      <w:bookmarkEnd w:id="9"/>
    </w:p>
    <w:p w:rsidR="004E0215" w:rsidRPr="001C0647" w:rsidRDefault="003525FA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مثلاً از آن جهت که بگوییم آنی که مقدم بوده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اول آن اجرا بشود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بعد آنی که موجبش مقدم بوده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مقدم بشود. اما در مقام اول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که بیشتر در روایات آمده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>فقها هم بیشتر متعرض آن شدند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5F7A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دو قول وجود دارد. قولی که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حاکم حق دارد ترتیبی بدهد که بقیه اصلاً مرتفع بشود. یعنی اول بیاید این را بکشد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که جایی برای قطع ید و جلد و امثال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606CF0" w:rsidRPr="001C0647">
        <w:rPr>
          <w:rFonts w:ascii="IRBadr" w:hAnsi="IRBadr" w:cs="IRBadr"/>
          <w:sz w:val="28"/>
          <w:szCs w:val="28"/>
          <w:rtl/>
          <w:lang w:bidi="fa-IR"/>
        </w:rPr>
        <w:t xml:space="preserve"> یا تبعید باقی نماند.</w:t>
      </w:r>
    </w:p>
    <w:p w:rsidR="004E0215" w:rsidRPr="001C0647" w:rsidRDefault="00606CF0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و قول دوم این است که نه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حق را ندارد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بایستی ترتیبی را برگزیند که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حتی‌الامکان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جا برای همه حدود باشد. خاصه و امامیه اتفاق بر قول دوم دارد. اجماعی است به دلیل روایاتی که وارد شده است که الان بعضی از آن را خواهیم خواند. و اما بعضی از عامه معتقد به قول اول هستند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که در همین مذاهب اربعه هم آمده است.</w:t>
      </w:r>
    </w:p>
    <w:p w:rsidR="004E0215" w:rsidRPr="001C0647" w:rsidRDefault="004E0215" w:rsidP="006837C2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10" w:name="_Toc425552755"/>
      <w:r w:rsidRPr="001C0647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مستندات قول دوم</w:t>
      </w:r>
      <w:bookmarkEnd w:id="10"/>
    </w:p>
    <w:p w:rsidR="004E0215" w:rsidRPr="001C0647" w:rsidRDefault="00606CF0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مستندات این قول دوم که قول قاطبه فقهای شیعه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روایات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است که در جلد هیجده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ابواب مقدمات حدود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باب پانزده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وجود دارد و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 روایات اطلاق دارد. چه در موجب حد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ترتب زمانی موافق با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مخالف این باشد. ولی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قتل را مقدم انداخت. البته بین قطع ید و جلد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ترتیبی است که آن هم گفته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به این شکل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اول جلد و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بعد قطع ید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و پس از آن قتل است.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ترتیبی در روایات آمده است.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نمونه چند روایت را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می‌خوانیم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E0215" w:rsidRPr="001C0647" w:rsidRDefault="004E0215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11" w:name="_Toc425552756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روایت اول</w:t>
      </w:r>
      <w:bookmarkEnd w:id="11"/>
    </w:p>
    <w:p w:rsidR="00DB1717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روایت اول</w:t>
      </w:r>
      <w:r w:rsidR="004E0215" w:rsidRPr="001C0647">
        <w:rPr>
          <w:rFonts w:ascii="IRBadr" w:hAnsi="IRBadr" w:cs="IRBadr"/>
          <w:sz w:val="28"/>
          <w:szCs w:val="28"/>
          <w:rtl/>
        </w:rPr>
        <w:t>؛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</w:rPr>
        <w:t>محمد بن علی بن حسین باسناده عن علی بن رعاب عن زراره عن ابی جعفر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</w:rPr>
        <w:t xml:space="preserve">روایت هم </w:t>
      </w:r>
      <w:r w:rsidR="004E0215" w:rsidRPr="001C0647">
        <w:rPr>
          <w:rFonts w:ascii="IRBadr" w:hAnsi="IRBadr" w:cs="IRBadr"/>
          <w:sz w:val="28"/>
          <w:szCs w:val="28"/>
          <w:rtl/>
        </w:rPr>
        <w:t xml:space="preserve">معتبر </w:t>
      </w:r>
      <w:r w:rsidRPr="001C0647">
        <w:rPr>
          <w:rFonts w:ascii="IRBadr" w:hAnsi="IRBadr" w:cs="IRBadr"/>
          <w:sz w:val="28"/>
          <w:szCs w:val="28"/>
          <w:rtl/>
        </w:rPr>
        <w:t xml:space="preserve">هست. 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عَنْ أَبِ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عل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ه السلام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رَجُلٍ اجْتَمَعَتْ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حُدُودٌ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فی‌ها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الْقَتْلُ، قَالَ: «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بْدَأُ بِالْحُدُودِ الَّتِ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هِ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دُونَ الْقَتْلِ، ثُمَّ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قْتَلُ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بَعْدُ</w:t>
      </w:r>
      <w:r w:rsidR="00DB1717" w:rsidRPr="001C0647">
        <w:rPr>
          <w:rFonts w:ascii="IRBadr" w:hAnsi="IRBadr" w:cs="IRBadr"/>
          <w:sz w:val="28"/>
          <w:szCs w:val="28"/>
          <w:rtl/>
        </w:rPr>
        <w:t>»</w:t>
      </w:r>
      <w:r w:rsidR="00DB1717" w:rsidRPr="001C0647">
        <w:rPr>
          <w:rStyle w:val="ad"/>
          <w:rFonts w:ascii="IRBadr" w:hAnsi="IRBadr" w:cs="IRBadr"/>
          <w:sz w:val="28"/>
          <w:szCs w:val="28"/>
          <w:rtl/>
        </w:rPr>
        <w:footnoteReference w:id="1"/>
      </w:r>
      <w:r w:rsidR="00DB1717" w:rsidRPr="001C0647">
        <w:rPr>
          <w:rFonts w:ascii="IRBadr" w:hAnsi="IRBadr" w:cs="IRBadr"/>
          <w:sz w:val="28"/>
          <w:szCs w:val="28"/>
        </w:rPr>
        <w:t>‌</w:t>
      </w:r>
    </w:p>
    <w:p w:rsidR="004E0215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حدودی بر او جمع شده که از جمله</w:t>
      </w:r>
      <w:r w:rsidR="004E0215" w:rsidRPr="001C0647">
        <w:rPr>
          <w:rFonts w:ascii="IRBadr" w:hAnsi="IRBadr" w:cs="IRBadr"/>
          <w:sz w:val="28"/>
          <w:szCs w:val="28"/>
          <w:rtl/>
        </w:rPr>
        <w:t xml:space="preserve"> آن</w:t>
      </w:r>
      <w:r w:rsidRPr="001C0647">
        <w:rPr>
          <w:rFonts w:ascii="IRBadr" w:hAnsi="IRBadr" w:cs="IRBadr"/>
          <w:sz w:val="28"/>
          <w:szCs w:val="28"/>
          <w:rtl/>
        </w:rPr>
        <w:t xml:space="preserve"> قتل است.</w:t>
      </w:r>
    </w:p>
    <w:p w:rsidR="004E0215" w:rsidRPr="001C0647" w:rsidRDefault="004E0215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12" w:name="_Toc425552757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روایت</w:t>
      </w:r>
      <w:r w:rsidR="008C4D0E"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 xml:space="preserve"> </w:t>
      </w:r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دوم</w:t>
      </w:r>
      <w:bookmarkEnd w:id="12"/>
    </w:p>
    <w:p w:rsidR="00DB1717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 xml:space="preserve"> روایت دوم</w:t>
      </w:r>
      <w:r w:rsidR="004E0215" w:rsidRPr="001C0647">
        <w:rPr>
          <w:rFonts w:ascii="IRBadr" w:hAnsi="IRBadr" w:cs="IRBadr"/>
          <w:sz w:val="28"/>
          <w:szCs w:val="28"/>
          <w:rtl/>
        </w:rPr>
        <w:t>؛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 </w:t>
      </w:r>
      <w:r w:rsidRPr="001C0647">
        <w:rPr>
          <w:rFonts w:ascii="IRBadr" w:hAnsi="IRBadr" w:cs="IRBadr"/>
          <w:sz w:val="28"/>
          <w:szCs w:val="28"/>
          <w:rtl/>
        </w:rPr>
        <w:t>باسناده عن علی بن فضال عن ابن بکیر عن عبید بن زراره</w:t>
      </w:r>
      <w:r w:rsidR="004E0215" w:rsidRPr="001C0647">
        <w:rPr>
          <w:rFonts w:ascii="IRBadr" w:hAnsi="IRBadr" w:cs="IRBadr"/>
          <w:sz w:val="28"/>
          <w:szCs w:val="28"/>
          <w:rtl/>
        </w:rPr>
        <w:t>،</w:t>
      </w:r>
      <w:r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4E0215" w:rsidRPr="001C0647">
        <w:rPr>
          <w:rFonts w:ascii="IRBadr" w:hAnsi="IRBadr" w:cs="IRBadr"/>
          <w:sz w:val="28"/>
          <w:szCs w:val="28"/>
          <w:rtl/>
        </w:rPr>
        <w:t xml:space="preserve">این هم </w:t>
      </w:r>
      <w:r w:rsidRPr="001C0647">
        <w:rPr>
          <w:rFonts w:ascii="IRBadr" w:hAnsi="IRBadr" w:cs="IRBadr"/>
          <w:sz w:val="28"/>
          <w:szCs w:val="28"/>
          <w:rtl/>
        </w:rPr>
        <w:t>باز حدیث معتبری است</w:t>
      </w:r>
      <w:r w:rsidR="003525FA" w:rsidRPr="001C0647">
        <w:rPr>
          <w:rFonts w:ascii="IRBadr" w:hAnsi="IRBadr" w:cs="IRBadr"/>
          <w:sz w:val="28"/>
          <w:szCs w:val="28"/>
          <w:rtl/>
        </w:rPr>
        <w:t>،</w:t>
      </w:r>
      <w:r w:rsidRPr="001C0647">
        <w:rPr>
          <w:rFonts w:ascii="IRBadr" w:hAnsi="IRBadr" w:cs="IRBadr"/>
          <w:sz w:val="28"/>
          <w:szCs w:val="28"/>
          <w:rtl/>
        </w:rPr>
        <w:t xml:space="preserve"> کسی دستگیر </w:t>
      </w:r>
      <w:r w:rsidR="001047A2" w:rsidRPr="001C0647">
        <w:rPr>
          <w:rFonts w:ascii="IRBadr" w:hAnsi="IRBadr" w:cs="IRBadr"/>
          <w:sz w:val="28"/>
          <w:szCs w:val="28"/>
          <w:rtl/>
        </w:rPr>
        <w:t>می‌شود</w:t>
      </w:r>
      <w:r w:rsidRPr="001C0647">
        <w:rPr>
          <w:rFonts w:ascii="IRBadr" w:hAnsi="IRBadr" w:cs="IRBadr"/>
          <w:sz w:val="28"/>
          <w:szCs w:val="28"/>
          <w:rtl/>
        </w:rPr>
        <w:t xml:space="preserve"> و حدهای متعددی بر او </w:t>
      </w:r>
      <w:r w:rsidR="004E0215" w:rsidRPr="001C0647">
        <w:rPr>
          <w:rFonts w:ascii="IRBadr" w:hAnsi="IRBadr" w:cs="IRBadr"/>
          <w:sz w:val="28"/>
          <w:szCs w:val="28"/>
          <w:rtl/>
        </w:rPr>
        <w:t>مقرر شده که یکی</w:t>
      </w:r>
      <w:r w:rsidRPr="001C0647">
        <w:rPr>
          <w:rFonts w:ascii="IRBadr" w:hAnsi="IRBadr" w:cs="IRBadr"/>
          <w:sz w:val="28"/>
          <w:szCs w:val="28"/>
          <w:rtl/>
        </w:rPr>
        <w:t xml:space="preserve"> قتل است.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DB1717" w:rsidRPr="001C0647">
        <w:rPr>
          <w:rFonts w:ascii="IRBadr" w:hAnsi="IRBadr" w:cs="IRBadr"/>
          <w:sz w:val="28"/>
          <w:szCs w:val="28"/>
          <w:rtl/>
        </w:rPr>
        <w:t>«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عَنْ أَبِ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ع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الرَّجُلِ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ؤْخَذُ وَ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حُدُودٌ أَحَدُهَا الْقَتْلُ فَقَالَ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ک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انَ عَلِ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ع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قِ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مُ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الْحُدُودَ ثُمَّ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قْتُلُهُ وَ لَا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خَالَفُ عَلِ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 ع</w:t>
      </w:r>
      <w:r w:rsidR="00DB1717" w:rsidRPr="001C0647">
        <w:rPr>
          <w:rFonts w:ascii="IRBadr" w:hAnsi="IRBadr" w:cs="IRBadr"/>
          <w:sz w:val="28"/>
          <w:szCs w:val="28"/>
          <w:rtl/>
        </w:rPr>
        <w:t xml:space="preserve">.» </w:t>
      </w:r>
      <w:r w:rsidR="00DB1717" w:rsidRPr="001C0647">
        <w:rPr>
          <w:rStyle w:val="ad"/>
          <w:rFonts w:ascii="IRBadr" w:hAnsi="IRBadr" w:cs="IRBadr"/>
          <w:sz w:val="28"/>
          <w:szCs w:val="28"/>
          <w:rtl/>
        </w:rPr>
        <w:footnoteReference w:id="2"/>
      </w:r>
    </w:p>
    <w:p w:rsidR="004E0215" w:rsidRPr="001C0647" w:rsidRDefault="001C0647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امیرالم</w:t>
      </w:r>
      <w:r>
        <w:rPr>
          <w:rFonts w:ascii="IRBadr" w:hAnsi="IRBadr" w:cs="IRBadr" w:hint="cs"/>
          <w:sz w:val="28"/>
          <w:szCs w:val="28"/>
          <w:rtl/>
          <w:lang w:bidi="fa-IR"/>
        </w:rPr>
        <w:t>ؤ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منین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بود که اول حد را جاری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و بعد این را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می‌کشت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.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اگر در حد نقل سیره بود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ممکن بود اشکالات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ی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متوجه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بشود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. ولی چون روایات دیگر 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این را 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به صورت قاعده و الزامی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کردند</w:t>
      </w:r>
      <w:r w:rsidR="004E0215" w:rsidRPr="001C0647">
        <w:rPr>
          <w:rFonts w:ascii="IRBadr" w:hAnsi="IRBadr" w:cs="IRBadr"/>
          <w:sz w:val="28"/>
          <w:szCs w:val="28"/>
          <w:rtl/>
          <w:lang w:bidi="fa-IR"/>
        </w:rPr>
        <w:t>،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 روایت هم همان </w:t>
      </w:r>
      <w:r w:rsidR="001047A2" w:rsidRPr="001C064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A1CA7"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65746" w:rsidRPr="001C0647" w:rsidRDefault="0026574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13" w:name="_Toc425552758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lastRenderedPageBreak/>
        <w:t>روایت سوم</w:t>
      </w:r>
      <w:bookmarkEnd w:id="13"/>
    </w:p>
    <w:p w:rsidR="00DB1717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روایت سوم</w:t>
      </w:r>
      <w:r w:rsidR="00265746" w:rsidRPr="001C0647">
        <w:rPr>
          <w:rFonts w:ascii="IRBadr" w:hAnsi="IRBadr" w:cs="IRBadr"/>
          <w:sz w:val="28"/>
          <w:szCs w:val="28"/>
          <w:rtl/>
        </w:rPr>
        <w:t>؛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1C0647">
        <w:rPr>
          <w:rFonts w:ascii="IRBadr" w:hAnsi="IRBadr" w:cs="IRBadr"/>
          <w:sz w:val="28"/>
          <w:szCs w:val="28"/>
          <w:rtl/>
        </w:rPr>
        <w:t>عبدالله</w:t>
      </w:r>
      <w:r w:rsidRPr="001C0647">
        <w:rPr>
          <w:rFonts w:ascii="IRBadr" w:hAnsi="IRBadr" w:cs="IRBadr"/>
          <w:sz w:val="28"/>
          <w:szCs w:val="28"/>
          <w:rtl/>
        </w:rPr>
        <w:t xml:space="preserve"> بن جعفر فی قرب الاسناد عن </w:t>
      </w:r>
      <w:r w:rsidR="001C0647">
        <w:rPr>
          <w:rFonts w:ascii="IRBadr" w:hAnsi="IRBadr" w:cs="IRBadr"/>
          <w:sz w:val="28"/>
          <w:szCs w:val="28"/>
          <w:rtl/>
        </w:rPr>
        <w:t>عبدالله</w:t>
      </w:r>
      <w:r w:rsidRPr="001C0647">
        <w:rPr>
          <w:rFonts w:ascii="IRBadr" w:hAnsi="IRBadr" w:cs="IRBadr"/>
          <w:sz w:val="28"/>
          <w:szCs w:val="28"/>
          <w:rtl/>
        </w:rPr>
        <w:t xml:space="preserve"> الحسن عن علی بن جعفر عن اخیه علیه السلام که از امام کاظم</w:t>
      </w:r>
      <w:r w:rsidR="00265746" w:rsidRPr="001C0647">
        <w:rPr>
          <w:rFonts w:ascii="IRBadr" w:hAnsi="IRBadr" w:cs="IRBadr"/>
          <w:sz w:val="28"/>
          <w:szCs w:val="28"/>
          <w:rtl/>
        </w:rPr>
        <w:t xml:space="preserve"> (ع)</w:t>
      </w:r>
      <w:r w:rsidRPr="001C0647">
        <w:rPr>
          <w:rFonts w:ascii="IRBadr" w:hAnsi="IRBadr" w:cs="IRBadr"/>
          <w:sz w:val="28"/>
          <w:szCs w:val="28"/>
          <w:rtl/>
        </w:rPr>
        <w:t xml:space="preserve"> است. سند معتبر است. 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سَأَلْتُهُ عَنْ رَجُلٍ أُخِذَ وَ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هِ ثَلَاثَةُ حُدُودٍ- الْخَمْرُ وَ الزِّنَا وَ السَّرِقَةُ- بِأَ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 xml:space="preserve">هَا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DB1717" w:rsidRPr="001C0647">
        <w:rPr>
          <w:rFonts w:ascii="IRBadr" w:hAnsi="IRBadr" w:cs="IRBadr"/>
          <w:b/>
          <w:bCs/>
          <w:sz w:val="28"/>
          <w:szCs w:val="28"/>
          <w:rtl/>
        </w:rPr>
        <w:t>بْدَأُ بِهِ مِنَ الْحُدُودِ قَالَ بِحَدِّ الْخَمْرِ- (ثُمَّ السَّرِقَةِ ثُمَّ الزِّنَا)</w:t>
      </w:r>
      <w:r w:rsidR="001C0647">
        <w:rPr>
          <w:rStyle w:val="ad"/>
          <w:rFonts w:hint="cs"/>
          <w:rtl/>
        </w:rPr>
        <w:t>.</w:t>
      </w:r>
      <w:r w:rsidR="00DB1717" w:rsidRPr="001C0647">
        <w:rPr>
          <w:rStyle w:val="ad"/>
          <w:rtl/>
        </w:rPr>
        <w:t xml:space="preserve"> </w:t>
      </w:r>
      <w:r w:rsidR="002B653A" w:rsidRPr="001C0647">
        <w:rPr>
          <w:rStyle w:val="ad"/>
          <w:rFonts w:ascii="IRBadr" w:hAnsi="IRBadr" w:cs="IRBadr"/>
          <w:sz w:val="28"/>
          <w:szCs w:val="28"/>
          <w:rtl/>
        </w:rPr>
        <w:footnoteReference w:id="3"/>
      </w:r>
    </w:p>
    <w:p w:rsidR="00265746" w:rsidRPr="001C0647" w:rsidRDefault="002A1CA7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سه حد بر او ثابت است. الخمر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که جلد است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و الزنا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که ممکن است قتل باشد یا رجم باشد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و سرقه</w:t>
      </w:r>
      <w:r w:rsidR="003525FA" w:rsidRPr="001C064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>قطع ید است</w:t>
      </w:r>
      <w:r w:rsidR="00DB1717" w:rsidRPr="001C064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65746" w:rsidRPr="001C0647" w:rsidRDefault="0026574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4" w:name="_Toc425552759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روایت چهارم</w:t>
      </w:r>
      <w:bookmarkEnd w:id="14"/>
    </w:p>
    <w:p w:rsidR="00265746" w:rsidRPr="001C0647" w:rsidRDefault="002A1CA7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روایت چهارم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>؛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عن 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>احمد بن محمد عن علی بن حکم ... که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معتبر است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>.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این هم همان مسائل قبلی 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>را دارد و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چیز </w:t>
      </w:r>
      <w:r w:rsidR="001C0647">
        <w:rPr>
          <w:rFonts w:ascii="IRBadr" w:hAnsi="IRBadr" w:cs="IRBadr"/>
          <w:sz w:val="28"/>
          <w:szCs w:val="28"/>
          <w:rtl/>
          <w:lang w:bidi="fa-IR"/>
        </w:rPr>
        <w:t>تازه‌ای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265746" w:rsidRPr="001C0647" w:rsidRDefault="0026574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5" w:name="_Toc425552760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روایت پنجم</w:t>
      </w:r>
      <w:bookmarkEnd w:id="15"/>
    </w:p>
    <w:p w:rsidR="002B653A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روایت پنجم هم باز روایت خیلی معتبره ای است</w:t>
      </w:r>
      <w:r w:rsidR="003525FA" w:rsidRPr="001C0647">
        <w:rPr>
          <w:rFonts w:ascii="IRBadr" w:hAnsi="IRBadr" w:cs="IRBadr"/>
          <w:sz w:val="28"/>
          <w:szCs w:val="28"/>
          <w:rtl/>
        </w:rPr>
        <w:t xml:space="preserve">، 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 xml:space="preserve">عن علی بن ابراهیم </w:t>
      </w:r>
      <w:r w:rsidR="001047A2" w:rsidRPr="001C0647">
        <w:rPr>
          <w:rFonts w:ascii="IRBadr" w:hAnsi="IRBadr" w:cs="IRBadr"/>
          <w:b/>
          <w:bCs/>
          <w:sz w:val="28"/>
          <w:szCs w:val="28"/>
          <w:rtl/>
        </w:rPr>
        <w:t>عنان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 xml:space="preserve"> ابی عمیر عن حماد بن عثمان عن 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عَنْ أَبِ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C0647" w:rsidRP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ع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الرَّجُلِ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یک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ونُ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هِ الْحُدُودُ مِنْهَا الْقَتْلُ قَالَ تُقَامُ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الْحُدُودُ ثُمَّ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قْتَلُ</w:t>
      </w:r>
      <w:r w:rsidR="002B653A" w:rsidRPr="001C0647">
        <w:rPr>
          <w:rFonts w:ascii="IRBadr" w:hAnsi="IRBadr" w:cs="IRBadr"/>
          <w:sz w:val="28"/>
          <w:szCs w:val="28"/>
          <w:rtl/>
        </w:rPr>
        <w:t xml:space="preserve">. </w:t>
      </w:r>
      <w:r w:rsidR="002B653A" w:rsidRPr="001C0647">
        <w:rPr>
          <w:rStyle w:val="ad"/>
          <w:rFonts w:ascii="IRBadr" w:hAnsi="IRBadr" w:cs="IRBadr"/>
          <w:sz w:val="28"/>
          <w:szCs w:val="28"/>
          <w:rtl/>
        </w:rPr>
        <w:footnoteReference w:id="4"/>
      </w:r>
    </w:p>
    <w:p w:rsidR="00265746" w:rsidRPr="001C0647" w:rsidRDefault="001047A2" w:rsidP="006837C2">
      <w:pPr>
        <w:pStyle w:val="aa"/>
        <w:bidi/>
        <w:jc w:val="both"/>
        <w:rPr>
          <w:rFonts w:ascii="IRBadr" w:hAnsi="IRBadr" w:cs="IRBadr"/>
          <w:sz w:val="2"/>
          <w:szCs w:val="2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این‌ها</w:t>
      </w:r>
      <w:r w:rsidR="002A1CA7" w:rsidRPr="001C0647">
        <w:rPr>
          <w:rFonts w:ascii="IRBadr" w:hAnsi="IRBadr" w:cs="IRBadr"/>
          <w:sz w:val="28"/>
          <w:szCs w:val="28"/>
          <w:rtl/>
        </w:rPr>
        <w:t xml:space="preserve"> همان مفهوم قبلی است.</w:t>
      </w:r>
    </w:p>
    <w:p w:rsidR="00265746" w:rsidRPr="001C0647" w:rsidRDefault="002B653A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16" w:name="_Toc425552761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ر</w:t>
      </w:r>
      <w:r w:rsidR="00265746"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وایت ششم</w:t>
      </w:r>
      <w:bookmarkEnd w:id="16"/>
    </w:p>
    <w:p w:rsidR="002B653A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 xml:space="preserve">و روایت ششم هم باز روایت معتبره ای است. 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 xml:space="preserve">عنه عن ابیه عن ابن محبوب عن </w:t>
      </w:r>
      <w:r w:rsidR="001C0647" w:rsidRP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 xml:space="preserve"> بن سنان و ابن بکیر 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عَنْ أَبِ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C0647" w:rsidRP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ع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رَجُلٍ اجْتَمَعَتْ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حُدُودٌ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فی‌ها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الْقَتْلُ قَالَ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بْدَأُ بِالْحُدُودِ الَّتِ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هِ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 xml:space="preserve"> دُونَ الْقَتْلِ ثُمَّ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2B653A" w:rsidRPr="001C0647">
        <w:rPr>
          <w:rFonts w:ascii="IRBadr" w:hAnsi="IRBadr" w:cs="IRBadr"/>
          <w:b/>
          <w:bCs/>
          <w:sz w:val="28"/>
          <w:szCs w:val="28"/>
          <w:rtl/>
        </w:rPr>
        <w:t>قْتَلُ بَعْدُ.</w:t>
      </w:r>
      <w:r w:rsidR="002B653A"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2B653A" w:rsidRPr="001C0647">
        <w:rPr>
          <w:rStyle w:val="ad"/>
          <w:rFonts w:ascii="IRBadr" w:hAnsi="IRBadr" w:cs="IRBadr"/>
          <w:sz w:val="28"/>
          <w:szCs w:val="28"/>
          <w:rtl/>
        </w:rPr>
        <w:footnoteReference w:id="5"/>
      </w:r>
    </w:p>
    <w:p w:rsidR="00265746" w:rsidRPr="001C0647" w:rsidRDefault="0026574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</w:rPr>
      </w:pPr>
      <w:bookmarkStart w:id="17" w:name="_Toc425552762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lastRenderedPageBreak/>
        <w:t>روایت هفتم</w:t>
      </w:r>
      <w:bookmarkEnd w:id="17"/>
    </w:p>
    <w:p w:rsidR="00440D08" w:rsidRPr="001C0647" w:rsidRDefault="002A1CA7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 xml:space="preserve">روایت هفتم هم معتبره است. 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>عن عده اصحابنا عن احمد بن مح</w:t>
      </w:r>
      <w:r w:rsidR="00265746" w:rsidRPr="001C0647">
        <w:rPr>
          <w:rFonts w:ascii="IRBadr" w:hAnsi="IRBadr" w:cs="IRBadr"/>
          <w:b/>
          <w:bCs/>
          <w:sz w:val="28"/>
          <w:szCs w:val="28"/>
          <w:rtl/>
        </w:rPr>
        <w:t>مد بن عیسی عن حسین بن سعید ...</w:t>
      </w:r>
      <w:r w:rsidRPr="001C0647">
        <w:rPr>
          <w:rFonts w:ascii="IRBadr" w:hAnsi="IRBadr" w:cs="IRBadr"/>
          <w:b/>
          <w:bCs/>
          <w:sz w:val="28"/>
          <w:szCs w:val="28"/>
          <w:rtl/>
        </w:rPr>
        <w:t xml:space="preserve"> عن ذرعه عن سماعه 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عَنْ أَبِ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C0647" w:rsidRPr="001C0647">
        <w:rPr>
          <w:rFonts w:ascii="IRBadr" w:hAnsi="IRBadr" w:cs="IRBadr"/>
          <w:b/>
          <w:bCs/>
          <w:sz w:val="28"/>
          <w:szCs w:val="28"/>
          <w:rtl/>
        </w:rPr>
        <w:t>عبدالله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ع قَالَ: قَضَ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أَمِ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رُ الْمُؤْمِنِ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نَ ع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مَنْ قَتَلَ وَ شَرِبَ خَمْراً وَ سَرَقَ فَأَقَامَ عَلَ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هِ الْحَدَّ فَجَلَدَهُ لِشُرْبِهِ الْخَمْرَ وَ قَطَعَ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دَهُ فِ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سَرِقَتِهِ وَ قَتَلَهُ بِقَتْلِهِ.</w:t>
      </w:r>
      <w:r w:rsidR="00440D08"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440D08" w:rsidRPr="001C0647">
        <w:rPr>
          <w:rStyle w:val="ad"/>
          <w:rFonts w:ascii="IRBadr" w:hAnsi="IRBadr" w:cs="IRBadr"/>
          <w:sz w:val="28"/>
          <w:szCs w:val="28"/>
          <w:rtl/>
        </w:rPr>
        <w:footnoteReference w:id="6"/>
      </w:r>
    </w:p>
    <w:p w:rsidR="00265746" w:rsidRPr="001C0647" w:rsidRDefault="002A1CA7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C0647">
        <w:rPr>
          <w:rFonts w:ascii="IRBadr" w:hAnsi="IRBadr" w:cs="IRBadr"/>
          <w:sz w:val="28"/>
          <w:szCs w:val="28"/>
          <w:rtl/>
          <w:lang w:bidi="fa-IR"/>
        </w:rPr>
        <w:t>که ظاهرش این است که این باید</w:t>
      </w:r>
      <w:r w:rsidR="008C4D0E" w:rsidRPr="001C064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65746" w:rsidRPr="001C0647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Pr="001C0647">
        <w:rPr>
          <w:rFonts w:ascii="IRBadr" w:hAnsi="IRBadr" w:cs="IRBadr"/>
          <w:sz w:val="28"/>
          <w:szCs w:val="28"/>
          <w:rtl/>
          <w:lang w:bidi="fa-IR"/>
        </w:rPr>
        <w:t>ترتیب باشد.</w:t>
      </w:r>
    </w:p>
    <w:p w:rsidR="00440D08" w:rsidRPr="001C0647" w:rsidRDefault="00265746" w:rsidP="006837C2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</w:rPr>
      </w:pPr>
      <w:bookmarkStart w:id="18" w:name="_Toc425552763"/>
      <w:r w:rsidRPr="001C0647">
        <w:rPr>
          <w:rFonts w:ascii="IRBadr" w:hAnsi="IRBadr" w:cs="IRBadr"/>
          <w:b/>
          <w:bCs/>
          <w:color w:val="auto"/>
          <w:sz w:val="32"/>
          <w:szCs w:val="32"/>
          <w:rtl/>
        </w:rPr>
        <w:t>روایت هشتم</w:t>
      </w:r>
      <w:bookmarkEnd w:id="18"/>
    </w:p>
    <w:p w:rsidR="00440D08" w:rsidRPr="001C0647" w:rsidRDefault="003525FA" w:rsidP="006837C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1C0647">
        <w:rPr>
          <w:rFonts w:ascii="IRBadr" w:hAnsi="IRBadr" w:cs="IRBadr"/>
          <w:sz w:val="28"/>
          <w:szCs w:val="28"/>
          <w:rtl/>
        </w:rPr>
        <w:t>روایت هشتم هم روای</w:t>
      </w:r>
      <w:r w:rsidR="00265746" w:rsidRPr="001C0647">
        <w:rPr>
          <w:rFonts w:ascii="IRBadr" w:hAnsi="IRBadr" w:cs="IRBadr"/>
          <w:sz w:val="28"/>
          <w:szCs w:val="28"/>
          <w:rtl/>
        </w:rPr>
        <w:t>ت معتبره ای است،</w:t>
      </w:r>
      <w:r w:rsidRPr="001C0647">
        <w:rPr>
          <w:rFonts w:ascii="IRBadr" w:hAnsi="IRBadr" w:cs="IRBadr"/>
          <w:sz w:val="28"/>
          <w:szCs w:val="28"/>
          <w:rtl/>
        </w:rPr>
        <w:t xml:space="preserve"> </w:t>
      </w:r>
      <w:r w:rsidR="00440D08" w:rsidRPr="001C0647">
        <w:rPr>
          <w:rFonts w:ascii="IRBadr" w:hAnsi="IRBadr" w:cs="IRBadr"/>
          <w:sz w:val="28"/>
          <w:szCs w:val="28"/>
          <w:rtl/>
        </w:rPr>
        <w:t>«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بْ</w:t>
      </w:r>
      <w:bookmarkStart w:id="19" w:name="_GoBack"/>
      <w:bookmarkEnd w:id="19"/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دَأُ بِالْحُدُودِ الَّتِ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هِ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 xml:space="preserve"> دُونَ الْقَتْلِ ثُمَّ </w:t>
      </w:r>
      <w:r w:rsidR="008C4D0E" w:rsidRPr="001C0647">
        <w:rPr>
          <w:rFonts w:ascii="IRBadr" w:hAnsi="IRBadr" w:cs="IRBadr"/>
          <w:b/>
          <w:bCs/>
          <w:sz w:val="28"/>
          <w:szCs w:val="28"/>
          <w:rtl/>
        </w:rPr>
        <w:t>ی</w:t>
      </w:r>
      <w:r w:rsidR="00440D08" w:rsidRPr="001C0647">
        <w:rPr>
          <w:rFonts w:ascii="IRBadr" w:hAnsi="IRBadr" w:cs="IRBadr"/>
          <w:b/>
          <w:bCs/>
          <w:sz w:val="28"/>
          <w:szCs w:val="28"/>
          <w:rtl/>
        </w:rPr>
        <w:t>قْتَلُ بَعْدُ.</w:t>
      </w:r>
      <w:r w:rsidR="00440D08" w:rsidRPr="001C0647">
        <w:rPr>
          <w:rFonts w:ascii="IRBadr" w:hAnsi="IRBadr" w:cs="IRBadr"/>
          <w:sz w:val="28"/>
          <w:szCs w:val="28"/>
          <w:rtl/>
        </w:rPr>
        <w:t>»</w:t>
      </w:r>
      <w:r w:rsidR="00440D08" w:rsidRPr="001C0647">
        <w:rPr>
          <w:rStyle w:val="ad"/>
          <w:rFonts w:ascii="IRBadr" w:hAnsi="IRBadr" w:cs="IRBadr"/>
          <w:sz w:val="28"/>
          <w:szCs w:val="28"/>
          <w:rtl/>
        </w:rPr>
        <w:footnoteReference w:id="7"/>
      </w:r>
    </w:p>
    <w:p w:rsidR="00B20B33" w:rsidRPr="001C0647" w:rsidRDefault="00B20B33" w:rsidP="00683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6837C2" w:rsidRPr="001C0647" w:rsidRDefault="006837C2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</w:p>
    <w:sectPr w:rsidR="006837C2" w:rsidRPr="001C0647" w:rsidSect="007B0E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484" w:rsidRDefault="00CB3484" w:rsidP="00B20B33">
      <w:pPr>
        <w:spacing w:after="0" w:line="240" w:lineRule="auto"/>
      </w:pPr>
      <w:r>
        <w:separator/>
      </w:r>
    </w:p>
  </w:endnote>
  <w:endnote w:type="continuationSeparator" w:id="0">
    <w:p w:rsidR="00CB3484" w:rsidRDefault="00CB3484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0E" w:rsidRDefault="008C4D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0E" w:rsidRDefault="008C4D0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0E" w:rsidRDefault="008C4D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484" w:rsidRDefault="00CB3484" w:rsidP="00B20B33">
      <w:pPr>
        <w:spacing w:after="0" w:line="240" w:lineRule="auto"/>
      </w:pPr>
      <w:r>
        <w:separator/>
      </w:r>
    </w:p>
  </w:footnote>
  <w:footnote w:type="continuationSeparator" w:id="0">
    <w:p w:rsidR="00CB3484" w:rsidRDefault="00CB3484" w:rsidP="00B20B33">
      <w:pPr>
        <w:spacing w:after="0" w:line="240" w:lineRule="auto"/>
      </w:pPr>
      <w:r>
        <w:continuationSeparator/>
      </w:r>
    </w:p>
  </w:footnote>
  <w:footnote w:id="1">
    <w:p w:rsidR="00DB1717" w:rsidRDefault="00DB1717" w:rsidP="00DB1717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DB1717">
        <w:rPr>
          <w:rFonts w:ascii="Noor_Titr" w:hAnsi="Noor_Titr" w:cs="B Lotus" w:hint="cs"/>
          <w:color w:val="000000" w:themeColor="text1"/>
          <w:rtl/>
        </w:rPr>
        <w:t>ال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DB1717">
        <w:rPr>
          <w:rFonts w:ascii="Noor_Titr" w:hAnsi="Noor_Titr" w:cs="B Lotus" w:hint="cs"/>
          <w:color w:val="000000" w:themeColor="text1"/>
          <w:rtl/>
        </w:rPr>
        <w:t>اف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DB1717">
        <w:rPr>
          <w:rFonts w:ascii="Noor_Titr" w:hAnsi="Noor_Titr" w:cs="B Lotus" w:hint="cs"/>
          <w:color w:val="000000" w:themeColor="text1"/>
          <w:rtl/>
        </w:rPr>
        <w:t xml:space="preserve"> (ط - دار الحد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DB1717">
        <w:rPr>
          <w:rFonts w:ascii="Noor_Titr" w:hAnsi="Noor_Titr" w:cs="B Lotus" w:hint="cs"/>
          <w:color w:val="000000" w:themeColor="text1"/>
          <w:rtl/>
        </w:rPr>
        <w:t xml:space="preserve">ث)؛ </w:t>
      </w:r>
      <w:r w:rsidR="008C4D0E">
        <w:rPr>
          <w:rFonts w:ascii="Noor_Titr" w:hAnsi="Noor_Titr" w:cs="B Lotus"/>
          <w:color w:val="000000" w:themeColor="text1"/>
          <w:rtl/>
        </w:rPr>
        <w:t>ج 14</w:t>
      </w:r>
      <w:r w:rsidRPr="00DB1717">
        <w:rPr>
          <w:rFonts w:ascii="Noor_Titr" w:hAnsi="Noor_Titr" w:cs="B Lotus" w:hint="cs"/>
          <w:color w:val="000000" w:themeColor="text1"/>
          <w:rtl/>
        </w:rPr>
        <w:t>، ص: 218</w:t>
      </w:r>
    </w:p>
  </w:footnote>
  <w:footnote w:id="2">
    <w:p w:rsidR="00DB1717" w:rsidRDefault="00DB1717" w:rsidP="00DB1717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DB1717">
        <w:rPr>
          <w:rFonts w:ascii="Noor_Titr" w:hAnsi="Noor_Titr" w:cs="B Lotus" w:hint="cs"/>
          <w:color w:val="000000" w:themeColor="text1"/>
          <w:rtl/>
        </w:rPr>
        <w:t>ال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DB1717">
        <w:rPr>
          <w:rFonts w:ascii="Noor_Titr" w:hAnsi="Noor_Titr" w:cs="B Lotus" w:hint="cs"/>
          <w:color w:val="000000" w:themeColor="text1"/>
          <w:rtl/>
        </w:rPr>
        <w:t>اف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DB1717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DB1717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8C4D0E">
        <w:rPr>
          <w:rFonts w:ascii="Noor_Titr" w:hAnsi="Noor_Titr" w:cs="B Lotus"/>
          <w:color w:val="000000" w:themeColor="text1"/>
          <w:rtl/>
        </w:rPr>
        <w:t>ج 7</w:t>
      </w:r>
      <w:r w:rsidRPr="00DB1717">
        <w:rPr>
          <w:rFonts w:ascii="Noor_Titr" w:hAnsi="Noor_Titr" w:cs="B Lotus" w:hint="cs"/>
          <w:color w:val="000000" w:themeColor="text1"/>
          <w:rtl/>
        </w:rPr>
        <w:t>، ص: 250</w:t>
      </w:r>
    </w:p>
  </w:footnote>
  <w:footnote w:id="3">
    <w:p w:rsidR="002B653A" w:rsidRDefault="002B653A" w:rsidP="002B653A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2B653A">
        <w:rPr>
          <w:rFonts w:ascii="Noor_Titr" w:hAnsi="Noor_Titr" w:cs="B Lotus" w:hint="cs"/>
          <w:color w:val="000000" w:themeColor="text1"/>
          <w:rtl/>
        </w:rPr>
        <w:t>وسائل الش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2B653A">
        <w:rPr>
          <w:rFonts w:ascii="Noor_Titr" w:hAnsi="Noor_Titr" w:cs="B Lotus" w:hint="cs"/>
          <w:color w:val="000000" w:themeColor="text1"/>
          <w:rtl/>
        </w:rPr>
        <w:t xml:space="preserve">عة؛ </w:t>
      </w:r>
      <w:r w:rsidR="008C4D0E">
        <w:rPr>
          <w:rFonts w:ascii="Noor_Titr" w:hAnsi="Noor_Titr" w:cs="B Lotus"/>
          <w:color w:val="000000" w:themeColor="text1"/>
          <w:rtl/>
        </w:rPr>
        <w:t>ج 28</w:t>
      </w:r>
      <w:r w:rsidRPr="002B653A">
        <w:rPr>
          <w:rFonts w:ascii="Noor_Titr" w:hAnsi="Noor_Titr" w:cs="B Lotus" w:hint="cs"/>
          <w:color w:val="000000" w:themeColor="text1"/>
          <w:rtl/>
        </w:rPr>
        <w:t>، ص: 34</w:t>
      </w:r>
    </w:p>
  </w:footnote>
  <w:footnote w:id="4">
    <w:p w:rsidR="002B653A" w:rsidRDefault="002B653A" w:rsidP="002B653A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2B653A">
        <w:rPr>
          <w:rFonts w:ascii="Noor_Titr" w:hAnsi="Noor_Titr" w:cs="B Lotus" w:hint="cs"/>
          <w:color w:val="000000" w:themeColor="text1"/>
          <w:rtl/>
        </w:rPr>
        <w:t>ال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2B653A">
        <w:rPr>
          <w:rFonts w:ascii="Noor_Titr" w:hAnsi="Noor_Titr" w:cs="B Lotus" w:hint="cs"/>
          <w:color w:val="000000" w:themeColor="text1"/>
          <w:rtl/>
        </w:rPr>
        <w:t>اف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2B653A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2B653A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8C4D0E">
        <w:rPr>
          <w:rFonts w:ascii="Noor_Titr" w:hAnsi="Noor_Titr" w:cs="B Lotus"/>
          <w:color w:val="000000" w:themeColor="text1"/>
          <w:rtl/>
        </w:rPr>
        <w:t>ج 7</w:t>
      </w:r>
      <w:r w:rsidRPr="002B653A">
        <w:rPr>
          <w:rFonts w:ascii="Noor_Titr" w:hAnsi="Noor_Titr" w:cs="B Lotus" w:hint="cs"/>
          <w:color w:val="000000" w:themeColor="text1"/>
          <w:rtl/>
        </w:rPr>
        <w:t>، ص: 250</w:t>
      </w:r>
    </w:p>
  </w:footnote>
  <w:footnote w:id="5">
    <w:p w:rsidR="002B653A" w:rsidRDefault="002B653A" w:rsidP="002B653A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2B653A">
        <w:rPr>
          <w:rFonts w:ascii="Noor_Titr" w:hAnsi="Noor_Titr" w:cs="B Lotus" w:hint="cs"/>
          <w:color w:val="000000" w:themeColor="text1"/>
          <w:rtl/>
        </w:rPr>
        <w:t>ال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2B653A">
        <w:rPr>
          <w:rFonts w:ascii="Noor_Titr" w:hAnsi="Noor_Titr" w:cs="B Lotus" w:hint="cs"/>
          <w:color w:val="000000" w:themeColor="text1"/>
          <w:rtl/>
        </w:rPr>
        <w:t>اف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2B653A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2B653A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8C4D0E">
        <w:rPr>
          <w:rFonts w:ascii="Noor_Titr" w:hAnsi="Noor_Titr" w:cs="B Lotus"/>
          <w:color w:val="000000" w:themeColor="text1"/>
          <w:rtl/>
        </w:rPr>
        <w:t>ج 7</w:t>
      </w:r>
      <w:r w:rsidRPr="002B653A">
        <w:rPr>
          <w:rFonts w:ascii="Noor_Titr" w:hAnsi="Noor_Titr" w:cs="B Lotus" w:hint="cs"/>
          <w:color w:val="000000" w:themeColor="text1"/>
          <w:rtl/>
        </w:rPr>
        <w:t>، ص: 250</w:t>
      </w:r>
    </w:p>
  </w:footnote>
  <w:footnote w:id="6">
    <w:p w:rsidR="00440D08" w:rsidRDefault="00440D08" w:rsidP="00440D08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440D08">
        <w:rPr>
          <w:rFonts w:ascii="Noor_Titr" w:hAnsi="Noor_Titr" w:cs="B Lotus" w:hint="cs"/>
          <w:color w:val="000000" w:themeColor="text1"/>
          <w:rtl/>
        </w:rPr>
        <w:t>ال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440D08">
        <w:rPr>
          <w:rFonts w:ascii="Noor_Titr" w:hAnsi="Noor_Titr" w:cs="B Lotus" w:hint="cs"/>
          <w:color w:val="000000" w:themeColor="text1"/>
          <w:rtl/>
        </w:rPr>
        <w:t>اف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440D08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440D08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8C4D0E">
        <w:rPr>
          <w:rFonts w:ascii="Noor_Titr" w:hAnsi="Noor_Titr" w:cs="B Lotus"/>
          <w:color w:val="000000" w:themeColor="text1"/>
          <w:rtl/>
        </w:rPr>
        <w:t>ج 7</w:t>
      </w:r>
      <w:r w:rsidRPr="00440D08">
        <w:rPr>
          <w:rFonts w:ascii="Noor_Titr" w:hAnsi="Noor_Titr" w:cs="B Lotus" w:hint="cs"/>
          <w:color w:val="000000" w:themeColor="text1"/>
          <w:rtl/>
        </w:rPr>
        <w:t>، ص: 250</w:t>
      </w:r>
    </w:p>
  </w:footnote>
  <w:footnote w:id="7">
    <w:p w:rsidR="00440D08" w:rsidRDefault="00440D08" w:rsidP="00440D08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440D08">
        <w:rPr>
          <w:rFonts w:ascii="Noor_Titr" w:hAnsi="Noor_Titr" w:cs="B Lotus" w:hint="cs"/>
          <w:color w:val="000000" w:themeColor="text1"/>
          <w:rtl/>
        </w:rPr>
        <w:t>تهذ</w:t>
      </w:r>
      <w:r w:rsidR="008C4D0E">
        <w:rPr>
          <w:rFonts w:ascii="Noor_Titr" w:hAnsi="Noor_Titr" w:cs="B Lotus" w:hint="cs"/>
          <w:color w:val="000000" w:themeColor="text1"/>
          <w:rtl/>
        </w:rPr>
        <w:t>ی</w:t>
      </w:r>
      <w:r w:rsidRPr="00440D08">
        <w:rPr>
          <w:rFonts w:ascii="Noor_Titr" w:hAnsi="Noor_Titr" w:cs="B Lotus" w:hint="cs"/>
          <w:color w:val="000000" w:themeColor="text1"/>
          <w:rtl/>
        </w:rPr>
        <w:t>ب الأح</w:t>
      </w:r>
      <w:r w:rsidR="008C4D0E">
        <w:rPr>
          <w:rFonts w:ascii="Noor_Titr" w:hAnsi="Noor_Titr" w:cs="B Lotus" w:hint="cs"/>
          <w:color w:val="000000" w:themeColor="text1"/>
          <w:rtl/>
        </w:rPr>
        <w:t>ک</w:t>
      </w:r>
      <w:r w:rsidRPr="00440D08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8C4D0E">
        <w:rPr>
          <w:rFonts w:ascii="Noor_Titr" w:hAnsi="Noor_Titr" w:cs="B Lotus"/>
          <w:color w:val="000000" w:themeColor="text1"/>
          <w:rtl/>
        </w:rPr>
        <w:t>ج 10</w:t>
      </w:r>
      <w:r w:rsidRPr="00440D08">
        <w:rPr>
          <w:rFonts w:ascii="Noor_Titr" w:hAnsi="Noor_Titr" w:cs="B Lotus" w:hint="cs"/>
          <w:color w:val="000000" w:themeColor="text1"/>
          <w:rtl/>
        </w:rPr>
        <w:t>، ص: 45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0E" w:rsidRDefault="008C4D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E8B" w:rsidRPr="007B0E8B" w:rsidRDefault="00CB3484" w:rsidP="007B0E8B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20" w:name="OLE_LINK1"/>
    <w:bookmarkStart w:id="21" w:name="OLE_LINK2"/>
    <w:r w:rsidR="007B0E8B">
      <w:rPr>
        <w:noProof/>
        <w:lang w:bidi="fa-IR"/>
      </w:rPr>
      <w:drawing>
        <wp:inline distT="0" distB="0" distL="0" distR="0" wp14:anchorId="08464D84" wp14:editId="0C18738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 w:rsidR="008C4D0E">
      <w:rPr>
        <w:rFonts w:ascii="IranNastaliq" w:hAnsi="IranNastaliq" w:cs="IranNastaliq"/>
        <w:sz w:val="40"/>
        <w:szCs w:val="40"/>
        <w:rtl/>
      </w:rPr>
      <w:t xml:space="preserve"> </w:t>
    </w:r>
    <w:r w:rsidR="007B0E8B" w:rsidRPr="00B17B69">
      <w:rPr>
        <w:rFonts w:ascii="IranNastaliq" w:hAnsi="IranNastaliq" w:cs="IranNastaliq"/>
        <w:sz w:val="40"/>
        <w:szCs w:val="40"/>
        <w:rtl/>
      </w:rPr>
      <w:t>شماره ثبت:</w:t>
    </w:r>
    <w:r w:rsidR="007B0E8B">
      <w:rPr>
        <w:rFonts w:ascii="IranNastaliq" w:hAnsi="IranNastaliq" w:cs="IranNastaliq"/>
        <w:sz w:val="40"/>
        <w:szCs w:val="40"/>
      </w:rPr>
      <w:t>753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0E" w:rsidRDefault="008C4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6125"/>
    <w:rsid w:val="00027C96"/>
    <w:rsid w:val="00061DDB"/>
    <w:rsid w:val="00093436"/>
    <w:rsid w:val="000C7707"/>
    <w:rsid w:val="001047A2"/>
    <w:rsid w:val="00114323"/>
    <w:rsid w:val="0013532B"/>
    <w:rsid w:val="00157D98"/>
    <w:rsid w:val="001C0647"/>
    <w:rsid w:val="001D174E"/>
    <w:rsid w:val="00265746"/>
    <w:rsid w:val="002A1CA7"/>
    <w:rsid w:val="002B653A"/>
    <w:rsid w:val="002B76C1"/>
    <w:rsid w:val="003525FA"/>
    <w:rsid w:val="003F2A51"/>
    <w:rsid w:val="00440D08"/>
    <w:rsid w:val="004E0215"/>
    <w:rsid w:val="004F7B86"/>
    <w:rsid w:val="005540C8"/>
    <w:rsid w:val="00563BF8"/>
    <w:rsid w:val="00570B3B"/>
    <w:rsid w:val="005B3B4D"/>
    <w:rsid w:val="005F48DC"/>
    <w:rsid w:val="005F7A0E"/>
    <w:rsid w:val="00606CF0"/>
    <w:rsid w:val="006837C2"/>
    <w:rsid w:val="00695112"/>
    <w:rsid w:val="007339F8"/>
    <w:rsid w:val="007B0E8B"/>
    <w:rsid w:val="008C1209"/>
    <w:rsid w:val="008C4D0E"/>
    <w:rsid w:val="008D3216"/>
    <w:rsid w:val="00952C9A"/>
    <w:rsid w:val="00961DDA"/>
    <w:rsid w:val="00984112"/>
    <w:rsid w:val="009900AE"/>
    <w:rsid w:val="009A5E11"/>
    <w:rsid w:val="00A219C3"/>
    <w:rsid w:val="00A7495D"/>
    <w:rsid w:val="00A9054D"/>
    <w:rsid w:val="00AE5540"/>
    <w:rsid w:val="00AF00C6"/>
    <w:rsid w:val="00B00AB3"/>
    <w:rsid w:val="00B20B33"/>
    <w:rsid w:val="00B36156"/>
    <w:rsid w:val="00BA28C4"/>
    <w:rsid w:val="00BB1193"/>
    <w:rsid w:val="00BD59DB"/>
    <w:rsid w:val="00CB3484"/>
    <w:rsid w:val="00CC541A"/>
    <w:rsid w:val="00CE1B92"/>
    <w:rsid w:val="00CF6DCC"/>
    <w:rsid w:val="00DA7D37"/>
    <w:rsid w:val="00DB1717"/>
    <w:rsid w:val="00DB52E5"/>
    <w:rsid w:val="00DD422C"/>
    <w:rsid w:val="00DD520D"/>
    <w:rsid w:val="00E91A7C"/>
    <w:rsid w:val="00E94212"/>
    <w:rsid w:val="00F1173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DA7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219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52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B17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B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7B0E8B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DA7D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A219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DB52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DB171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a">
    <w:name w:val="Normal (Web)"/>
    <w:basedOn w:val="a"/>
    <w:uiPriority w:val="99"/>
    <w:unhideWhenUsed/>
    <w:rsid w:val="00DB1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DB1717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DB171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B1717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6837C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37C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837C2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6837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EEF3C-CF43-44C2-A2F8-37EE31FE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9</Pages>
  <Words>1835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17</cp:revision>
  <dcterms:created xsi:type="dcterms:W3CDTF">2013-01-08T08:55:00Z</dcterms:created>
  <dcterms:modified xsi:type="dcterms:W3CDTF">2015-07-28T12:15:00Z</dcterms:modified>
</cp:coreProperties>
</file>